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37DB" w:rsidRDefault="005237DB" w:rsidP="005237DB">
      <w:pPr>
        <w:pStyle w:val="paragraph"/>
        <w:spacing w:before="0" w:beforeAutospacing="0" w:after="0" w:afterAutospacing="0"/>
        <w:ind w:left="255"/>
        <w:jc w:val="center"/>
        <w:textAlignment w:val="baseline"/>
        <w:rPr>
          <w:rStyle w:val="normaltextrun"/>
          <w:b/>
          <w:bCs/>
          <w:sz w:val="40"/>
          <w:szCs w:val="40"/>
          <w:u w:val="single"/>
        </w:rPr>
      </w:pPr>
      <w:r w:rsidRPr="005237DB">
        <w:rPr>
          <w:rStyle w:val="normaltextrun"/>
          <w:b/>
          <w:bCs/>
          <w:sz w:val="40"/>
          <w:szCs w:val="40"/>
          <w:u w:val="single"/>
        </w:rPr>
        <w:t>Declaración de Santarém</w:t>
      </w:r>
    </w:p>
    <w:p w:rsidR="005237DB" w:rsidRPr="005237DB" w:rsidRDefault="005237DB" w:rsidP="005237DB">
      <w:pPr>
        <w:pStyle w:val="paragraph"/>
        <w:spacing w:before="0" w:beforeAutospacing="0" w:after="0" w:afterAutospacing="0"/>
        <w:ind w:left="255"/>
        <w:jc w:val="center"/>
        <w:textAlignment w:val="baseline"/>
        <w:rPr>
          <w:rStyle w:val="normaltextrun"/>
          <w:b/>
          <w:bCs/>
          <w:sz w:val="40"/>
          <w:szCs w:val="40"/>
          <w:u w:val="single"/>
        </w:rPr>
      </w:pPr>
    </w:p>
    <w:p w:rsidR="001F5003" w:rsidRPr="005237DB" w:rsidRDefault="005237DB" w:rsidP="005237DB">
      <w:pPr>
        <w:pStyle w:val="paragraph"/>
        <w:spacing w:before="0" w:beforeAutospacing="0" w:after="0" w:afterAutospacing="0"/>
        <w:ind w:left="255"/>
        <w:jc w:val="center"/>
        <w:textAlignment w:val="baseline"/>
        <w:rPr>
          <w:rStyle w:val="eop"/>
          <w:bCs/>
          <w:i/>
        </w:rPr>
      </w:pPr>
      <w:r w:rsidRPr="005237DB">
        <w:rPr>
          <w:rStyle w:val="normaltextrun"/>
          <w:bCs/>
          <w:i/>
        </w:rPr>
        <w:t>(</w:t>
      </w:r>
      <w:r w:rsidR="001F5003" w:rsidRPr="005237DB">
        <w:rPr>
          <w:rStyle w:val="normaltextrun"/>
          <w:bCs/>
          <w:i/>
        </w:rPr>
        <w:t>Conclusiones del III Congreso Ibérico Agrícola y Forestal</w:t>
      </w:r>
      <w:r w:rsidRPr="005237DB">
        <w:rPr>
          <w:rStyle w:val="normaltextrun"/>
          <w:bCs/>
          <w:i/>
        </w:rPr>
        <w:t>)</w:t>
      </w:r>
    </w:p>
    <w:p w:rsidR="001F5003" w:rsidRDefault="001F5003" w:rsidP="001F5003">
      <w:pPr>
        <w:pStyle w:val="paragraph"/>
        <w:spacing w:before="0" w:beforeAutospacing="0" w:after="0" w:afterAutospacing="0"/>
        <w:textAlignment w:val="baseline"/>
        <w:rPr>
          <w:rFonts w:ascii="Segoe UI" w:hAnsi="Segoe UI" w:cs="Segoe UI"/>
          <w:sz w:val="18"/>
          <w:szCs w:val="18"/>
        </w:rPr>
      </w:pPr>
    </w:p>
    <w:p w:rsidR="001F5003" w:rsidRDefault="001F5003" w:rsidP="001F5003">
      <w:pPr>
        <w:pStyle w:val="paragraph"/>
        <w:spacing w:before="0" w:beforeAutospacing="0" w:after="0" w:afterAutospacing="0"/>
        <w:jc w:val="both"/>
        <w:textAlignment w:val="baseline"/>
        <w:rPr>
          <w:rFonts w:ascii="Segoe UI" w:hAnsi="Segoe UI" w:cs="Segoe UI"/>
          <w:sz w:val="18"/>
          <w:szCs w:val="18"/>
        </w:rPr>
      </w:pPr>
      <w:r>
        <w:t> </w:t>
      </w:r>
    </w:p>
    <w:p w:rsidR="001F5003" w:rsidRPr="001F5003" w:rsidRDefault="001F5003" w:rsidP="001F5003">
      <w:pPr>
        <w:pStyle w:val="paragraph"/>
        <w:spacing w:before="0" w:beforeAutospacing="0" w:after="0" w:afterAutospacing="0"/>
        <w:ind w:left="90" w:right="105"/>
        <w:jc w:val="both"/>
        <w:textAlignment w:val="baseline"/>
        <w:rPr>
          <w:i/>
        </w:rPr>
      </w:pPr>
      <w:r w:rsidRPr="001F5003">
        <w:rPr>
          <w:rStyle w:val="normaltextrun"/>
          <w:i/>
        </w:rPr>
        <w:t>Europa debe volver a garantizar la soberanía alimentaria de la UE y los ingresos de sus agricultores y silvicultores. Esta debe ser la estrategia fundamental del Pacto</w:t>
      </w:r>
      <w:r>
        <w:rPr>
          <w:rStyle w:val="normaltextrun"/>
          <w:i/>
        </w:rPr>
        <w:t xml:space="preserve"> </w:t>
      </w:r>
      <w:r w:rsidRPr="001F5003">
        <w:rPr>
          <w:rStyle w:val="normaltextrun"/>
          <w:i/>
        </w:rPr>
        <w:t>Verde Europeo.</w:t>
      </w:r>
      <w:r w:rsidRPr="001F5003">
        <w:rPr>
          <w:rStyle w:val="eop"/>
          <w:i/>
        </w:rPr>
        <w:t> </w:t>
      </w:r>
    </w:p>
    <w:p w:rsidR="001F5003" w:rsidRPr="001F5003" w:rsidRDefault="001F5003" w:rsidP="001F5003">
      <w:pPr>
        <w:pStyle w:val="paragraph"/>
        <w:spacing w:before="0" w:beforeAutospacing="0" w:after="0" w:afterAutospacing="0"/>
        <w:jc w:val="both"/>
        <w:textAlignment w:val="baseline"/>
        <w:rPr>
          <w:i/>
        </w:rPr>
      </w:pPr>
      <w:r w:rsidRPr="001F5003">
        <w:rPr>
          <w:i/>
        </w:rPr>
        <w:t> </w:t>
      </w:r>
    </w:p>
    <w:p w:rsidR="001F5003" w:rsidRPr="001F5003" w:rsidRDefault="001F5003" w:rsidP="001F5003">
      <w:pPr>
        <w:pStyle w:val="paragraph"/>
        <w:spacing w:before="0" w:beforeAutospacing="0" w:after="0" w:afterAutospacing="0"/>
        <w:jc w:val="both"/>
        <w:textAlignment w:val="baseline"/>
        <w:rPr>
          <w:i/>
        </w:rPr>
      </w:pPr>
      <w:r w:rsidRPr="001F5003">
        <w:rPr>
          <w:i/>
        </w:rPr>
        <w:t>Paralización momentánea, hasta las elecciones europeas, de la estrategia "De la granja a la mesa", de la estrategia "Biodiversidad", de la estrategia "Ley de recuperación de la naturaleza", de la estrategia "Propuesta de reforma de la legislación sobre bienestar animal", de la estrategia "Propuesta de marco legislativo para sistemas alimentarios sostenibles" y de otras iniciativas, hasta que se presenten los correspondientes estudios de impacto acumulativo y se compruebe que son necesarios tres pilares fundamentales hasta ahora ignorados: una transición más allá de 2050, un presupuesto extraordinario al margen de la PAC y, por último, instrumentos y mecanismos de sustitución de la producción previamente probados.</w:t>
      </w:r>
      <w:r w:rsidRPr="001F5003">
        <w:rPr>
          <w:rStyle w:val="eop"/>
          <w:i/>
        </w:rPr>
        <w:t> </w:t>
      </w:r>
    </w:p>
    <w:p w:rsidR="001F5003" w:rsidRPr="001F5003" w:rsidRDefault="001F5003" w:rsidP="001F5003">
      <w:pPr>
        <w:pStyle w:val="paragraph"/>
        <w:spacing w:before="0" w:beforeAutospacing="0" w:after="0" w:afterAutospacing="0"/>
        <w:jc w:val="both"/>
        <w:textAlignment w:val="baseline"/>
        <w:rPr>
          <w:i/>
        </w:rPr>
      </w:pPr>
      <w:r w:rsidRPr="001F5003">
        <w:rPr>
          <w:i/>
        </w:rPr>
        <w:t> </w:t>
      </w:r>
    </w:p>
    <w:p w:rsidR="001F5003" w:rsidRPr="001F5003" w:rsidRDefault="001F5003" w:rsidP="001F5003">
      <w:pPr>
        <w:pStyle w:val="paragraph"/>
        <w:spacing w:before="0" w:beforeAutospacing="0" w:after="0" w:afterAutospacing="0"/>
        <w:ind w:left="90" w:right="105"/>
        <w:jc w:val="both"/>
        <w:textAlignment w:val="baseline"/>
        <w:rPr>
          <w:i/>
        </w:rPr>
      </w:pPr>
      <w:r w:rsidRPr="001F5003">
        <w:rPr>
          <w:rStyle w:val="normaltextrun"/>
          <w:i/>
        </w:rPr>
        <w:t>Es urgente apoyar y construir nuevas infraestructuras hídricas en ambos países, porque sin agua será imposible desarrollar el sector agrícola y hacerlo más eficiente y sostenible; éste es uno de los grandes retos a los que nos enfrentamos, tanto a escala nacional como europea.</w:t>
      </w:r>
      <w:r w:rsidRPr="001F5003">
        <w:rPr>
          <w:rStyle w:val="eop"/>
          <w:i/>
        </w:rPr>
        <w:t> </w:t>
      </w:r>
    </w:p>
    <w:p w:rsidR="001F5003" w:rsidRPr="001F5003" w:rsidRDefault="001F5003" w:rsidP="001F5003">
      <w:pPr>
        <w:pStyle w:val="paragraph"/>
        <w:spacing w:before="0" w:beforeAutospacing="0" w:after="0" w:afterAutospacing="0"/>
        <w:jc w:val="both"/>
        <w:textAlignment w:val="baseline"/>
        <w:rPr>
          <w:i/>
        </w:rPr>
      </w:pPr>
      <w:r w:rsidRPr="001F5003">
        <w:rPr>
          <w:i/>
        </w:rPr>
        <w:t> </w:t>
      </w:r>
    </w:p>
    <w:p w:rsidR="001F5003" w:rsidRPr="001F5003" w:rsidRDefault="001F5003" w:rsidP="001F5003">
      <w:pPr>
        <w:pStyle w:val="paragraph"/>
        <w:spacing w:before="0" w:beforeAutospacing="0" w:after="0" w:afterAutospacing="0"/>
        <w:ind w:left="90" w:right="105"/>
        <w:jc w:val="both"/>
        <w:textAlignment w:val="baseline"/>
        <w:rPr>
          <w:i/>
        </w:rPr>
      </w:pPr>
      <w:r w:rsidRPr="001F5003">
        <w:rPr>
          <w:rStyle w:val="normaltextrun"/>
          <w:i/>
        </w:rPr>
        <w:t xml:space="preserve">Flexibilización de las medidas no productivas de la PAC, como las BCAM y </w:t>
      </w:r>
      <w:proofErr w:type="gramStart"/>
      <w:r w:rsidRPr="001F5003">
        <w:rPr>
          <w:rStyle w:val="normaltextrun"/>
          <w:i/>
        </w:rPr>
        <w:t>los eco-esquemas</w:t>
      </w:r>
      <w:proofErr w:type="gramEnd"/>
      <w:r w:rsidRPr="001F5003">
        <w:rPr>
          <w:rStyle w:val="normaltextrun"/>
          <w:i/>
        </w:rPr>
        <w:t>. Tras el primer año de aplicación de la PAC, y después de estar sometidos a las incertidumbres de la guerra de Ucrania, la sequía que viene sufriendo Europa, el aumento de los costes de producción y de los insumos, consideramos irresponsable que la UE no apueste decididamente por la producción hasta que no se hayan disipado todas las incertidumbres anteriores.</w:t>
      </w:r>
      <w:r w:rsidRPr="001F5003">
        <w:rPr>
          <w:rStyle w:val="eop"/>
          <w:i/>
        </w:rPr>
        <w:t> </w:t>
      </w:r>
    </w:p>
    <w:p w:rsidR="001F5003" w:rsidRPr="001F5003" w:rsidRDefault="001F5003" w:rsidP="001F5003">
      <w:pPr>
        <w:pStyle w:val="paragraph"/>
        <w:spacing w:before="0" w:beforeAutospacing="0" w:after="0" w:afterAutospacing="0"/>
        <w:jc w:val="both"/>
        <w:textAlignment w:val="baseline"/>
        <w:rPr>
          <w:i/>
        </w:rPr>
      </w:pPr>
      <w:r w:rsidRPr="001F5003">
        <w:rPr>
          <w:i/>
        </w:rPr>
        <w:t> </w:t>
      </w:r>
    </w:p>
    <w:p w:rsidR="001F5003" w:rsidRPr="001F5003" w:rsidRDefault="001F5003" w:rsidP="001F5003">
      <w:pPr>
        <w:pStyle w:val="paragraph"/>
        <w:spacing w:before="0" w:beforeAutospacing="0" w:after="0" w:afterAutospacing="0"/>
        <w:ind w:left="90" w:right="105"/>
        <w:jc w:val="both"/>
        <w:textAlignment w:val="baseline"/>
        <w:rPr>
          <w:i/>
        </w:rPr>
      </w:pPr>
      <w:r w:rsidRPr="001F5003">
        <w:rPr>
          <w:rStyle w:val="normaltextrun"/>
          <w:b/>
          <w:bCs/>
          <w:i/>
        </w:rPr>
        <w:t>Cláusulas espejo</w:t>
      </w:r>
      <w:r w:rsidRPr="001F5003">
        <w:rPr>
          <w:rStyle w:val="normaltextrun"/>
          <w:i/>
        </w:rPr>
        <w:t>. Reabrir todos los acuerdos comerciales a nivel bilateral para aplicar exactamente las mismas medidas productivas (ni más ni menos) que se están aplicando en Europa, dada la imposibilidad de modificar la Organización Mundial del Comercio (OMC). El sector agrario y forestal no debe ni puede competir con otras normas que, a la larga, conducirán al desmantelamiento del sector primario. Un claro ejemplo de ello es el actual acuerdo de Mercosur, que no debería ratificarse.</w:t>
      </w:r>
      <w:r w:rsidRPr="001F5003">
        <w:rPr>
          <w:rStyle w:val="eop"/>
          <w:i/>
        </w:rPr>
        <w:t> </w:t>
      </w:r>
    </w:p>
    <w:p w:rsidR="001F5003" w:rsidRDefault="001F5003" w:rsidP="001F5003">
      <w:pPr>
        <w:pStyle w:val="paragraph"/>
        <w:spacing w:before="0" w:beforeAutospacing="0" w:after="0" w:afterAutospacing="0"/>
        <w:jc w:val="both"/>
        <w:textAlignment w:val="baseline"/>
        <w:rPr>
          <w:i/>
        </w:rPr>
      </w:pPr>
      <w:r w:rsidRPr="001F5003">
        <w:rPr>
          <w:i/>
        </w:rPr>
        <w:t> </w:t>
      </w:r>
    </w:p>
    <w:p w:rsidR="001F5003" w:rsidRPr="001F5003" w:rsidRDefault="001F5003" w:rsidP="001F5003">
      <w:pPr>
        <w:pStyle w:val="paragraph"/>
        <w:spacing w:before="0" w:beforeAutospacing="0" w:after="0" w:afterAutospacing="0"/>
        <w:jc w:val="both"/>
        <w:textAlignment w:val="baseline"/>
        <w:rPr>
          <w:i/>
          <w:color w:val="000000"/>
        </w:rPr>
      </w:pPr>
      <w:r w:rsidRPr="001F5003">
        <w:rPr>
          <w:i/>
          <w:color w:val="000000"/>
        </w:rPr>
        <w:t>Apuesta abierta y sincera por la biotecnología y, más concretamente, por las Nuevas Técnicas de Edición Genética (NGT), para alcanzar la triple sostenibilidad (económica, social y medioambiental) soñada por las instituciones. La libertad de elección del sistema de producción, sin discriminación por parte de la administración pública, debe ser una de las piedras angulares de la legislación europea.</w:t>
      </w:r>
    </w:p>
    <w:p w:rsidR="001F5003" w:rsidRPr="001F5003" w:rsidRDefault="001F5003" w:rsidP="001F5003">
      <w:pPr>
        <w:pStyle w:val="NormalWeb"/>
        <w:jc w:val="both"/>
        <w:rPr>
          <w:i/>
          <w:color w:val="000000"/>
        </w:rPr>
      </w:pPr>
      <w:r w:rsidRPr="001F5003">
        <w:rPr>
          <w:i/>
          <w:color w:val="000000"/>
        </w:rPr>
        <w:t>Modificación del Marco Financiero Plurianual para aumentar el presupuesto de la PAC y donde además se indexen los presupuestos teniendo en cuenta la inflación que estamos sufriendo.</w:t>
      </w:r>
    </w:p>
    <w:p w:rsidR="001F5003" w:rsidRPr="001F5003" w:rsidRDefault="005237DB" w:rsidP="001F5003">
      <w:pPr>
        <w:pStyle w:val="NormalWeb"/>
        <w:jc w:val="both"/>
        <w:rPr>
          <w:i/>
          <w:color w:val="000000"/>
        </w:rPr>
      </w:pPr>
      <w:r>
        <w:rPr>
          <w:i/>
          <w:color w:val="000000"/>
        </w:rPr>
        <w:lastRenderedPageBreak/>
        <w:t>G</w:t>
      </w:r>
      <w:bookmarkStart w:id="0" w:name="_GoBack"/>
      <w:bookmarkEnd w:id="0"/>
      <w:r w:rsidR="001F5003" w:rsidRPr="001F5003">
        <w:rPr>
          <w:i/>
          <w:color w:val="000000"/>
        </w:rPr>
        <w:t>arantizar un marco normativo favorable para el mercado de captura de carbono para agricultores, ganaderos y silvicultores, con el fin de recompensar las extracciones (captura de carbono) y las reducciones de carbono mediante un enfoque basado en el mercado libre y privado que proporcione unos ingresos no previstos.</w:t>
      </w:r>
    </w:p>
    <w:p w:rsidR="001F5003" w:rsidRPr="001F5003" w:rsidRDefault="001F5003" w:rsidP="001F5003">
      <w:pPr>
        <w:pStyle w:val="NormalWeb"/>
        <w:jc w:val="both"/>
        <w:rPr>
          <w:i/>
          <w:color w:val="000000"/>
        </w:rPr>
      </w:pPr>
      <w:r w:rsidRPr="001F5003">
        <w:rPr>
          <w:i/>
          <w:color w:val="000000"/>
        </w:rPr>
        <w:t>También pedimos la modificación de forma urgente de los anexos de la Directiva Hábitat para permitir de forma homogénea de nuevo el control cinegético de los grandes carnívoros (lobos, osos…) que están afectando de forma muy lesiva al sector ganadero.</w:t>
      </w:r>
    </w:p>
    <w:p w:rsidR="001F5003" w:rsidRPr="001F5003" w:rsidRDefault="001F5003" w:rsidP="001F5003">
      <w:pPr>
        <w:pStyle w:val="NormalWeb"/>
        <w:jc w:val="both"/>
        <w:rPr>
          <w:i/>
          <w:color w:val="000000"/>
        </w:rPr>
      </w:pPr>
      <w:r w:rsidRPr="001F5003">
        <w:rPr>
          <w:i/>
          <w:color w:val="000000"/>
        </w:rPr>
        <w:t>Exigimos a los poderes públicos que garanticen el respeto del mundo rural. Somos parte de la solución, no del problema. Para ello, debemos detener la caída histórica del presupuesto de la PAC, así como el desmantelamiento del presupuesto y del personal de la Dirección General de Agricultura de la Comisión Europea. Además, debemos garantizar que las cuestiones agrícolas y forestales sigan siendo competencia del Consejo, para evitar que otras carteras interfieran en nuestros asuntos.</w:t>
      </w:r>
    </w:p>
    <w:p w:rsidR="001F5003" w:rsidRPr="001F5003" w:rsidRDefault="001F5003" w:rsidP="001F5003">
      <w:pPr>
        <w:pStyle w:val="NormalWeb"/>
        <w:jc w:val="both"/>
        <w:rPr>
          <w:i/>
          <w:color w:val="000000"/>
        </w:rPr>
      </w:pPr>
      <w:r w:rsidRPr="001F5003">
        <w:rPr>
          <w:i/>
          <w:color w:val="000000"/>
        </w:rPr>
        <w:t>Por último, reiteramos nuestro compromiso con los agricultores portugueses y españoles, que seguiremos trabajando juntos para defender los intereses de los agricultores españoles y portugueses tanto a nivel nacional como europeo, porque es mucho más lo que nos une que nos separa.</w:t>
      </w:r>
    </w:p>
    <w:p w:rsidR="001F5003" w:rsidRDefault="001F5003" w:rsidP="001F5003">
      <w:pPr>
        <w:ind w:left="1416"/>
        <w:jc w:val="both"/>
        <w:rPr>
          <w:b/>
          <w:sz w:val="30"/>
          <w:szCs w:val="30"/>
          <w:lang w:val="es-ES"/>
        </w:rPr>
      </w:pPr>
    </w:p>
    <w:p w:rsidR="00E2557A" w:rsidRPr="001F5003" w:rsidRDefault="00E2557A">
      <w:pPr>
        <w:rPr>
          <w:lang w:val="es-ES"/>
        </w:rPr>
      </w:pPr>
    </w:p>
    <w:sectPr w:rsidR="00E2557A" w:rsidRPr="001F5003">
      <w:foot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244B" w:rsidRDefault="006F244B" w:rsidP="001F5003">
      <w:r>
        <w:separator/>
      </w:r>
    </w:p>
  </w:endnote>
  <w:endnote w:type="continuationSeparator" w:id="0">
    <w:p w:rsidR="006F244B" w:rsidRDefault="006F244B" w:rsidP="001F50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47407288"/>
      <w:docPartObj>
        <w:docPartGallery w:val="Page Numbers (Bottom of Page)"/>
        <w:docPartUnique/>
      </w:docPartObj>
    </w:sdtPr>
    <w:sdtEndPr/>
    <w:sdtContent>
      <w:p w:rsidR="001F5003" w:rsidRDefault="001F5003">
        <w:pPr>
          <w:pStyle w:val="Piedepgina"/>
          <w:jc w:val="right"/>
        </w:pPr>
        <w:r>
          <w:fldChar w:fldCharType="begin"/>
        </w:r>
        <w:r>
          <w:instrText>PAGE   \* MERGEFORMAT</w:instrText>
        </w:r>
        <w:r>
          <w:fldChar w:fldCharType="separate"/>
        </w:r>
        <w:r w:rsidR="005237DB" w:rsidRPr="005237DB">
          <w:rPr>
            <w:noProof/>
            <w:lang w:val="es-ES"/>
          </w:rPr>
          <w:t>1</w:t>
        </w:r>
        <w:r>
          <w:fldChar w:fldCharType="end"/>
        </w:r>
      </w:p>
    </w:sdtContent>
  </w:sdt>
  <w:p w:rsidR="001F5003" w:rsidRDefault="001F500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244B" w:rsidRDefault="006F244B" w:rsidP="001F5003">
      <w:r>
        <w:separator/>
      </w:r>
    </w:p>
  </w:footnote>
  <w:footnote w:type="continuationSeparator" w:id="0">
    <w:p w:rsidR="006F244B" w:rsidRDefault="006F244B" w:rsidP="001F500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5003"/>
    <w:rsid w:val="001F5003"/>
    <w:rsid w:val="005237DB"/>
    <w:rsid w:val="006F244B"/>
    <w:rsid w:val="00E2557A"/>
    <w:rsid w:val="00F1066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5003"/>
    <w:pPr>
      <w:spacing w:after="0" w:line="240" w:lineRule="auto"/>
    </w:pPr>
    <w:rPr>
      <w:rFonts w:ascii="Times New Roman" w:eastAsia="Times New Roman" w:hAnsi="Times New Roman" w:cs="Times New Roman"/>
      <w:sz w:val="24"/>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1F5003"/>
    <w:pPr>
      <w:spacing w:before="100" w:beforeAutospacing="1" w:after="100" w:afterAutospacing="1"/>
    </w:pPr>
    <w:rPr>
      <w:szCs w:val="24"/>
      <w:lang w:val="es-ES"/>
    </w:rPr>
  </w:style>
  <w:style w:type="paragraph" w:customStyle="1" w:styleId="paragraph">
    <w:name w:val="paragraph"/>
    <w:basedOn w:val="Normal"/>
    <w:uiPriority w:val="99"/>
    <w:rsid w:val="001F5003"/>
    <w:pPr>
      <w:spacing w:before="100" w:beforeAutospacing="1" w:after="100" w:afterAutospacing="1"/>
    </w:pPr>
    <w:rPr>
      <w:szCs w:val="24"/>
      <w:lang w:val="es-ES"/>
    </w:rPr>
  </w:style>
  <w:style w:type="character" w:customStyle="1" w:styleId="normaltextrun">
    <w:name w:val="normaltextrun"/>
    <w:rsid w:val="001F5003"/>
  </w:style>
  <w:style w:type="character" w:customStyle="1" w:styleId="eop">
    <w:name w:val="eop"/>
    <w:rsid w:val="001F5003"/>
  </w:style>
  <w:style w:type="paragraph" w:styleId="Encabezado">
    <w:name w:val="header"/>
    <w:basedOn w:val="Normal"/>
    <w:link w:val="EncabezadoCar"/>
    <w:uiPriority w:val="99"/>
    <w:unhideWhenUsed/>
    <w:rsid w:val="001F5003"/>
    <w:pPr>
      <w:tabs>
        <w:tab w:val="center" w:pos="4252"/>
        <w:tab w:val="right" w:pos="8504"/>
      </w:tabs>
    </w:pPr>
  </w:style>
  <w:style w:type="character" w:customStyle="1" w:styleId="EncabezadoCar">
    <w:name w:val="Encabezado Car"/>
    <w:basedOn w:val="Fuentedeprrafopredeter"/>
    <w:link w:val="Encabezado"/>
    <w:uiPriority w:val="99"/>
    <w:rsid w:val="001F5003"/>
    <w:rPr>
      <w:rFonts w:ascii="Times New Roman" w:eastAsia="Times New Roman" w:hAnsi="Times New Roman" w:cs="Times New Roman"/>
      <w:sz w:val="24"/>
      <w:szCs w:val="20"/>
      <w:lang w:val="es-ES_tradnl" w:eastAsia="es-ES"/>
    </w:rPr>
  </w:style>
  <w:style w:type="paragraph" w:styleId="Piedepgina">
    <w:name w:val="footer"/>
    <w:basedOn w:val="Normal"/>
    <w:link w:val="PiedepginaCar"/>
    <w:uiPriority w:val="99"/>
    <w:unhideWhenUsed/>
    <w:rsid w:val="001F5003"/>
    <w:pPr>
      <w:tabs>
        <w:tab w:val="center" w:pos="4252"/>
        <w:tab w:val="right" w:pos="8504"/>
      </w:tabs>
    </w:pPr>
  </w:style>
  <w:style w:type="character" w:customStyle="1" w:styleId="PiedepginaCar">
    <w:name w:val="Pie de página Car"/>
    <w:basedOn w:val="Fuentedeprrafopredeter"/>
    <w:link w:val="Piedepgina"/>
    <w:uiPriority w:val="99"/>
    <w:rsid w:val="001F5003"/>
    <w:rPr>
      <w:rFonts w:ascii="Times New Roman" w:eastAsia="Times New Roman" w:hAnsi="Times New Roman" w:cs="Times New Roman"/>
      <w:sz w:val="24"/>
      <w:szCs w:val="20"/>
      <w:lang w:val="es-ES_tradnl"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5003"/>
    <w:pPr>
      <w:spacing w:after="0" w:line="240" w:lineRule="auto"/>
    </w:pPr>
    <w:rPr>
      <w:rFonts w:ascii="Times New Roman" w:eastAsia="Times New Roman" w:hAnsi="Times New Roman" w:cs="Times New Roman"/>
      <w:sz w:val="24"/>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1F5003"/>
    <w:pPr>
      <w:spacing w:before="100" w:beforeAutospacing="1" w:after="100" w:afterAutospacing="1"/>
    </w:pPr>
    <w:rPr>
      <w:szCs w:val="24"/>
      <w:lang w:val="es-ES"/>
    </w:rPr>
  </w:style>
  <w:style w:type="paragraph" w:customStyle="1" w:styleId="paragraph">
    <w:name w:val="paragraph"/>
    <w:basedOn w:val="Normal"/>
    <w:uiPriority w:val="99"/>
    <w:rsid w:val="001F5003"/>
    <w:pPr>
      <w:spacing w:before="100" w:beforeAutospacing="1" w:after="100" w:afterAutospacing="1"/>
    </w:pPr>
    <w:rPr>
      <w:szCs w:val="24"/>
      <w:lang w:val="es-ES"/>
    </w:rPr>
  </w:style>
  <w:style w:type="character" w:customStyle="1" w:styleId="normaltextrun">
    <w:name w:val="normaltextrun"/>
    <w:rsid w:val="001F5003"/>
  </w:style>
  <w:style w:type="character" w:customStyle="1" w:styleId="eop">
    <w:name w:val="eop"/>
    <w:rsid w:val="001F5003"/>
  </w:style>
  <w:style w:type="paragraph" w:styleId="Encabezado">
    <w:name w:val="header"/>
    <w:basedOn w:val="Normal"/>
    <w:link w:val="EncabezadoCar"/>
    <w:uiPriority w:val="99"/>
    <w:unhideWhenUsed/>
    <w:rsid w:val="001F5003"/>
    <w:pPr>
      <w:tabs>
        <w:tab w:val="center" w:pos="4252"/>
        <w:tab w:val="right" w:pos="8504"/>
      </w:tabs>
    </w:pPr>
  </w:style>
  <w:style w:type="character" w:customStyle="1" w:styleId="EncabezadoCar">
    <w:name w:val="Encabezado Car"/>
    <w:basedOn w:val="Fuentedeprrafopredeter"/>
    <w:link w:val="Encabezado"/>
    <w:uiPriority w:val="99"/>
    <w:rsid w:val="001F5003"/>
    <w:rPr>
      <w:rFonts w:ascii="Times New Roman" w:eastAsia="Times New Roman" w:hAnsi="Times New Roman" w:cs="Times New Roman"/>
      <w:sz w:val="24"/>
      <w:szCs w:val="20"/>
      <w:lang w:val="es-ES_tradnl" w:eastAsia="es-ES"/>
    </w:rPr>
  </w:style>
  <w:style w:type="paragraph" w:styleId="Piedepgina">
    <w:name w:val="footer"/>
    <w:basedOn w:val="Normal"/>
    <w:link w:val="PiedepginaCar"/>
    <w:uiPriority w:val="99"/>
    <w:unhideWhenUsed/>
    <w:rsid w:val="001F5003"/>
    <w:pPr>
      <w:tabs>
        <w:tab w:val="center" w:pos="4252"/>
        <w:tab w:val="right" w:pos="8504"/>
      </w:tabs>
    </w:pPr>
  </w:style>
  <w:style w:type="character" w:customStyle="1" w:styleId="PiedepginaCar">
    <w:name w:val="Pie de página Car"/>
    <w:basedOn w:val="Fuentedeprrafopredeter"/>
    <w:link w:val="Piedepgina"/>
    <w:uiPriority w:val="99"/>
    <w:rsid w:val="001F5003"/>
    <w:rPr>
      <w:rFonts w:ascii="Times New Roman" w:eastAsia="Times New Roman" w:hAnsi="Times New Roman" w:cs="Times New Roman"/>
      <w:sz w:val="24"/>
      <w:szCs w:val="20"/>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0416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638</Words>
  <Characters>3515</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estrella</dc:creator>
  <cp:lastModifiedBy>estrella</cp:lastModifiedBy>
  <cp:revision>2</cp:revision>
  <dcterms:created xsi:type="dcterms:W3CDTF">2023-09-22T07:57:00Z</dcterms:created>
  <dcterms:modified xsi:type="dcterms:W3CDTF">2023-09-22T07:57:00Z</dcterms:modified>
</cp:coreProperties>
</file>